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034A" w14:textId="3677D5DE" w:rsidR="00970429" w:rsidRPr="00FF7C9B" w:rsidRDefault="00970429" w:rsidP="00970429">
      <w:pPr>
        <w:pStyle w:val="ListParagraph"/>
        <w:numPr>
          <w:ilvl w:val="0"/>
          <w:numId w:val="1"/>
        </w:numPr>
        <w:ind w:left="426" w:hanging="426"/>
        <w:rPr>
          <w:rFonts w:ascii="Times New Roman" w:hAnsi="Times New Roman" w:cs="Times New Roman"/>
          <w:sz w:val="20"/>
          <w:szCs w:val="20"/>
          <w:lang w:val="en-US"/>
        </w:rPr>
      </w:pPr>
      <w:bookmarkStart w:id="0" w:name="_Hlk206963919"/>
      <w:r w:rsidRPr="00FF7C9B">
        <w:rPr>
          <w:rFonts w:ascii="Times New Roman" w:hAnsi="Times New Roman" w:cs="Times New Roman"/>
          <w:sz w:val="20"/>
          <w:szCs w:val="20"/>
          <w:lang w:val="en-US"/>
        </w:rPr>
        <w:t>Defendant:</w:t>
      </w:r>
      <w:r w:rsidRPr="00FF7C9B">
        <w:rPr>
          <w:rFonts w:ascii="Times New Roman" w:hAnsi="Times New Roman" w:cs="Times New Roman"/>
          <w:sz w:val="20"/>
          <w:szCs w:val="20"/>
          <w:lang w:val="en-US"/>
        </w:rPr>
        <w:tab/>
        <w:t xml:space="preserve">Equity Lawyer Mr Edward William Ellis born on 17/09/1952 of 15 Portreath Place, Broomfield, Chelmsford CM1 4DL + 07788371717 + </w:t>
      </w:r>
      <w:hyperlink r:id="rId7" w:history="1">
        <w:r w:rsidRPr="00FF7C9B">
          <w:rPr>
            <w:rStyle w:val="Hyperlink"/>
            <w:rFonts w:ascii="Times New Roman" w:hAnsi="Times New Roman" w:cs="Times New Roman"/>
            <w:sz w:val="20"/>
            <w:szCs w:val="20"/>
            <w:lang w:val="en-US"/>
          </w:rPr>
          <w:t>Edward.w.ellis@gmail.com</w:t>
        </w:r>
      </w:hyperlink>
    </w:p>
    <w:p w14:paraId="4F09932E" w14:textId="1065B427" w:rsidR="00970429" w:rsidRPr="00FF7C9B" w:rsidRDefault="00970429" w:rsidP="00970429">
      <w:pPr>
        <w:pStyle w:val="ListParagraph"/>
        <w:numPr>
          <w:ilvl w:val="0"/>
          <w:numId w:val="1"/>
        </w:numPr>
        <w:ind w:left="426" w:hanging="426"/>
        <w:rPr>
          <w:rFonts w:ascii="Times New Roman" w:hAnsi="Times New Roman" w:cs="Times New Roman"/>
          <w:sz w:val="20"/>
          <w:szCs w:val="20"/>
          <w:lang w:val="en-US"/>
        </w:rPr>
      </w:pPr>
      <w:r w:rsidRPr="00FF7C9B">
        <w:rPr>
          <w:rFonts w:ascii="Times New Roman" w:hAnsi="Times New Roman" w:cs="Times New Roman"/>
          <w:sz w:val="20"/>
          <w:szCs w:val="20"/>
          <w:lang w:val="en-US"/>
        </w:rPr>
        <w:t>Dispute:</w:t>
      </w:r>
      <w:r w:rsidRPr="00FF7C9B">
        <w:rPr>
          <w:rFonts w:ascii="Times New Roman" w:hAnsi="Times New Roman" w:cs="Times New Roman"/>
          <w:sz w:val="20"/>
          <w:szCs w:val="20"/>
          <w:lang w:val="en-US"/>
        </w:rPr>
        <w:tab/>
        <w:t xml:space="preserve">The Tenancy Details provided by the Landlord omit the Settlement Offers made by the Tenant before issue. </w:t>
      </w:r>
    </w:p>
    <w:p w14:paraId="46E3DBDF"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Tenant makes a Without Prejudice Full Payment Offer to pay the Rent + Service Arrears but not the Court Costs that is Without Prejudice to </w:t>
      </w:r>
    </w:p>
    <w:p w14:paraId="2E76D7C0" w14:textId="77777777" w:rsidR="00970429" w:rsidRPr="00FF7C9B" w:rsidRDefault="00970429" w:rsidP="00970429">
      <w:pPr>
        <w:pStyle w:val="ListParagraph"/>
        <w:numPr>
          <w:ilvl w:val="1"/>
          <w:numId w:val="1"/>
        </w:num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Conflicted Disqualification of the Judiciary </w:t>
      </w:r>
    </w:p>
    <w:p w14:paraId="203F9D25" w14:textId="77777777" w:rsidR="00970429" w:rsidRPr="00FF7C9B" w:rsidRDefault="00970429" w:rsidP="00970429">
      <w:pPr>
        <w:pStyle w:val="ListParagraph"/>
        <w:numPr>
          <w:ilvl w:val="1"/>
          <w:numId w:val="1"/>
        </w:num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w:t>
      </w:r>
      <w:proofErr w:type="spellStart"/>
      <w:r w:rsidRPr="00FF7C9B">
        <w:rPr>
          <w:rFonts w:ascii="Times New Roman" w:hAnsi="Times New Roman" w:cs="Times New Roman"/>
          <w:sz w:val="20"/>
          <w:szCs w:val="20"/>
          <w:lang w:val="en-US"/>
        </w:rPr>
        <w:t>Defence</w:t>
      </w:r>
      <w:proofErr w:type="spellEnd"/>
      <w:r w:rsidRPr="00FF7C9B">
        <w:rPr>
          <w:rFonts w:ascii="Times New Roman" w:hAnsi="Times New Roman" w:cs="Times New Roman"/>
          <w:sz w:val="20"/>
          <w:szCs w:val="20"/>
          <w:lang w:val="en-US"/>
        </w:rPr>
        <w:t xml:space="preserve"> Arguments </w:t>
      </w:r>
    </w:p>
    <w:p w14:paraId="54F2D4E9" w14:textId="657CCEF3" w:rsidR="00970429" w:rsidRPr="00FF7C9B" w:rsidRDefault="00970429" w:rsidP="00970429">
      <w:pPr>
        <w:pStyle w:val="ListParagraph"/>
        <w:numPr>
          <w:ilvl w:val="1"/>
          <w:numId w:val="1"/>
        </w:num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Counterclaim.   </w:t>
      </w:r>
    </w:p>
    <w:p w14:paraId="415F2B61" w14:textId="77777777" w:rsidR="008F6C28" w:rsidRPr="00FF7C9B" w:rsidRDefault="00970429" w:rsidP="008F6C28">
      <w:pPr>
        <w:pStyle w:val="ListParagraph"/>
        <w:numPr>
          <w:ilvl w:val="0"/>
          <w:numId w:val="1"/>
        </w:numPr>
        <w:ind w:left="426" w:hanging="426"/>
        <w:rPr>
          <w:rFonts w:ascii="Times New Roman" w:hAnsi="Times New Roman" w:cs="Times New Roman"/>
          <w:sz w:val="20"/>
          <w:szCs w:val="20"/>
          <w:lang w:val="en-US"/>
        </w:rPr>
      </w:pPr>
      <w:r w:rsidRPr="00FF7C9B">
        <w:rPr>
          <w:rFonts w:ascii="Times New Roman" w:hAnsi="Times New Roman" w:cs="Times New Roman"/>
          <w:sz w:val="20"/>
          <w:szCs w:val="20"/>
          <w:lang w:val="en-US"/>
        </w:rPr>
        <w:t>Notice:</w:t>
      </w:r>
      <w:r w:rsidRPr="00FF7C9B">
        <w:rPr>
          <w:rFonts w:ascii="Times New Roman" w:hAnsi="Times New Roman" w:cs="Times New Roman"/>
          <w:sz w:val="20"/>
          <w:szCs w:val="20"/>
          <w:lang w:val="en-US"/>
        </w:rPr>
        <w:tab/>
        <w:t>Possession Action Notice received</w:t>
      </w:r>
    </w:p>
    <w:p w14:paraId="1608A9A8" w14:textId="4716664B" w:rsidR="008F6C28" w:rsidRPr="00FF7C9B" w:rsidRDefault="008F6C28" w:rsidP="008F6C28">
      <w:pPr>
        <w:pStyle w:val="ListParagraph"/>
        <w:numPr>
          <w:ilvl w:val="0"/>
          <w:numId w:val="1"/>
        </w:numPr>
        <w:ind w:left="426" w:hanging="426"/>
        <w:rPr>
          <w:rFonts w:ascii="Times New Roman" w:hAnsi="Times New Roman" w:cs="Times New Roman"/>
          <w:sz w:val="20"/>
          <w:szCs w:val="20"/>
          <w:lang w:val="en-US"/>
        </w:rPr>
      </w:pPr>
      <w:r w:rsidRPr="00FF7C9B">
        <w:rPr>
          <w:rFonts w:ascii="Times New Roman" w:hAnsi="Times New Roman" w:cs="Times New Roman"/>
          <w:sz w:val="20"/>
          <w:szCs w:val="20"/>
          <w:lang w:val="en-US"/>
        </w:rPr>
        <w:t>Without Prejudice to Invalidity Arguments there is No Contest of the Arrears Calculation or Arrears Reason</w:t>
      </w:r>
    </w:p>
    <w:p w14:paraId="79693D20" w14:textId="77777777" w:rsidR="008F6C28" w:rsidRPr="00FF7C9B" w:rsidRDefault="008F6C28" w:rsidP="008F6C28">
      <w:pPr>
        <w:pStyle w:val="ListParagraph"/>
        <w:numPr>
          <w:ilvl w:val="0"/>
          <w:numId w:val="1"/>
        </w:numPr>
        <w:ind w:left="426" w:hanging="426"/>
        <w:rPr>
          <w:rFonts w:ascii="Times New Roman" w:hAnsi="Times New Roman" w:cs="Times New Roman"/>
          <w:sz w:val="20"/>
          <w:szCs w:val="20"/>
          <w:lang w:val="en-US"/>
        </w:rPr>
      </w:pPr>
      <w:r w:rsidRPr="00FF7C9B">
        <w:rPr>
          <w:rFonts w:ascii="Times New Roman" w:hAnsi="Times New Roman" w:cs="Times New Roman"/>
          <w:sz w:val="20"/>
          <w:szCs w:val="20"/>
          <w:lang w:val="en-US"/>
        </w:rPr>
        <w:t>Counterclaim for the Rent Account Settlement Failure + Gas Charge Fraud Joint Liability</w:t>
      </w:r>
    </w:p>
    <w:p w14:paraId="09CED861" w14:textId="4853EE6B" w:rsidR="00970429" w:rsidRPr="00FF7C9B" w:rsidRDefault="008F6C28" w:rsidP="008F6C28">
      <w:pPr>
        <w:pStyle w:val="ListParagraph"/>
        <w:numPr>
          <w:ilvl w:val="0"/>
          <w:numId w:val="1"/>
        </w:numPr>
        <w:ind w:left="426" w:hanging="426"/>
        <w:rPr>
          <w:rFonts w:ascii="Times New Roman" w:hAnsi="Times New Roman" w:cs="Times New Roman"/>
          <w:sz w:val="20"/>
          <w:szCs w:val="20"/>
          <w:lang w:val="en-US"/>
        </w:rPr>
      </w:pPr>
      <w:r w:rsidRPr="00FF7C9B">
        <w:rPr>
          <w:rFonts w:ascii="Times New Roman" w:hAnsi="Times New Roman" w:cs="Times New Roman"/>
          <w:sz w:val="20"/>
          <w:szCs w:val="20"/>
          <w:lang w:val="en-US"/>
        </w:rPr>
        <w:t>Counterclaim for the Rent Account Settlement Failure + Gas Charge Fraud Joint Liability</w:t>
      </w:r>
    </w:p>
    <w:p w14:paraId="0E00173C" w14:textId="652E953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7 - 15</w:t>
      </w:r>
      <w:r w:rsidRPr="00FF7C9B">
        <w:rPr>
          <w:rFonts w:ascii="Times New Roman" w:hAnsi="Times New Roman" w:cs="Times New Roman"/>
          <w:sz w:val="20"/>
          <w:szCs w:val="20"/>
          <w:lang w:val="en-US"/>
        </w:rPr>
        <w:tab/>
      </w:r>
      <w:r w:rsidRPr="00FF7C9B">
        <w:rPr>
          <w:rFonts w:ascii="Times New Roman" w:hAnsi="Times New Roman" w:cs="Times New Roman"/>
          <w:sz w:val="20"/>
          <w:szCs w:val="20"/>
          <w:lang w:val="en-US"/>
        </w:rPr>
        <w:tab/>
        <w:t>State Pension + Housing Benefit</w:t>
      </w:r>
      <w:r w:rsidR="00647944">
        <w:rPr>
          <w:rFonts w:ascii="Times New Roman" w:hAnsi="Times New Roman" w:cs="Times New Roman"/>
          <w:sz w:val="20"/>
          <w:szCs w:val="20"/>
          <w:lang w:val="en-US"/>
        </w:rPr>
        <w:t xml:space="preserve"> </w:t>
      </w:r>
      <w:r w:rsidRPr="00FF7C9B">
        <w:rPr>
          <w:rFonts w:ascii="Times New Roman" w:hAnsi="Times New Roman" w:cs="Times New Roman"/>
          <w:sz w:val="20"/>
          <w:szCs w:val="20"/>
          <w:lang w:val="en-US"/>
        </w:rPr>
        <w:t>that is paid by the Council to the Landlord</w:t>
      </w:r>
    </w:p>
    <w:p w14:paraId="6528AA1F" w14:textId="13D6209F"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16. - 17. </w:t>
      </w:r>
      <w:r w:rsidRPr="00FF7C9B">
        <w:rPr>
          <w:rFonts w:ascii="Times New Roman" w:hAnsi="Times New Roman" w:cs="Times New Roman"/>
          <w:sz w:val="20"/>
          <w:szCs w:val="20"/>
          <w:lang w:val="en-US"/>
        </w:rPr>
        <w:tab/>
      </w:r>
      <w:r w:rsidR="00647944">
        <w:rPr>
          <w:rFonts w:ascii="Times New Roman" w:hAnsi="Times New Roman" w:cs="Times New Roman"/>
          <w:sz w:val="20"/>
          <w:szCs w:val="20"/>
          <w:lang w:val="en-US"/>
        </w:rPr>
        <w:t xml:space="preserve">              </w:t>
      </w:r>
      <w:r w:rsidRPr="00FF7C9B">
        <w:rPr>
          <w:rFonts w:ascii="Times New Roman" w:hAnsi="Times New Roman" w:cs="Times New Roman"/>
          <w:sz w:val="20"/>
          <w:szCs w:val="20"/>
          <w:lang w:val="en-US"/>
        </w:rPr>
        <w:t>No Dependents</w:t>
      </w:r>
    </w:p>
    <w:p w14:paraId="55220CAC" w14:textId="10A2E85E"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18</w:t>
      </w:r>
      <w:r w:rsidRPr="00FF7C9B">
        <w:rPr>
          <w:rFonts w:ascii="Times New Roman" w:hAnsi="Times New Roman" w:cs="Times New Roman"/>
          <w:sz w:val="20"/>
          <w:szCs w:val="20"/>
          <w:lang w:val="en-US"/>
        </w:rPr>
        <w:tab/>
      </w:r>
      <w:r w:rsidRPr="00FF7C9B">
        <w:rPr>
          <w:rFonts w:ascii="Times New Roman" w:hAnsi="Times New Roman" w:cs="Times New Roman"/>
          <w:sz w:val="20"/>
          <w:szCs w:val="20"/>
          <w:lang w:val="en-US"/>
        </w:rPr>
        <w:tab/>
        <w:t>No Other Residents</w:t>
      </w:r>
    </w:p>
    <w:p w14:paraId="23C35EF4" w14:textId="53CCD95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19. - 27.</w:t>
      </w:r>
      <w:r w:rsidRPr="00FF7C9B">
        <w:rPr>
          <w:rFonts w:ascii="Times New Roman" w:hAnsi="Times New Roman" w:cs="Times New Roman"/>
          <w:sz w:val="20"/>
          <w:szCs w:val="20"/>
          <w:lang w:val="en-US"/>
        </w:rPr>
        <w:tab/>
      </w:r>
      <w:r w:rsidR="00647944">
        <w:rPr>
          <w:rFonts w:ascii="Times New Roman" w:hAnsi="Times New Roman" w:cs="Times New Roman"/>
          <w:sz w:val="20"/>
          <w:szCs w:val="20"/>
          <w:lang w:val="en-US"/>
        </w:rPr>
        <w:t xml:space="preserve">              </w:t>
      </w:r>
      <w:r w:rsidRPr="00FF7C9B">
        <w:rPr>
          <w:rFonts w:ascii="Times New Roman" w:hAnsi="Times New Roman" w:cs="Times New Roman"/>
          <w:sz w:val="20"/>
          <w:szCs w:val="20"/>
          <w:lang w:val="en-US"/>
        </w:rPr>
        <w:t>Full Payment makes Financial Details irrelevant</w:t>
      </w:r>
    </w:p>
    <w:p w14:paraId="4280088A" w14:textId="5E3E9242"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28. </w:t>
      </w:r>
      <w:r w:rsidRPr="00FF7C9B">
        <w:rPr>
          <w:rFonts w:ascii="Times New Roman" w:hAnsi="Times New Roman" w:cs="Times New Roman"/>
          <w:sz w:val="20"/>
          <w:szCs w:val="20"/>
          <w:lang w:val="en-US"/>
        </w:rPr>
        <w:tab/>
      </w:r>
      <w:r w:rsidRPr="00FF7C9B">
        <w:rPr>
          <w:rFonts w:ascii="Times New Roman" w:hAnsi="Times New Roman" w:cs="Times New Roman"/>
          <w:sz w:val="20"/>
          <w:szCs w:val="20"/>
          <w:lang w:val="en-US"/>
        </w:rPr>
        <w:tab/>
        <w:t xml:space="preserve">No Alternative Accommodation + Homelessness if Possession Order made. </w:t>
      </w:r>
    </w:p>
    <w:p w14:paraId="25489016" w14:textId="34E3ED59"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29.</w:t>
      </w:r>
      <w:r w:rsidRPr="00FF7C9B">
        <w:rPr>
          <w:rFonts w:ascii="Times New Roman" w:hAnsi="Times New Roman" w:cs="Times New Roman"/>
          <w:sz w:val="20"/>
          <w:szCs w:val="20"/>
          <w:lang w:val="en-US"/>
        </w:rPr>
        <w:tab/>
      </w:r>
      <w:r w:rsidRPr="00FF7C9B">
        <w:rPr>
          <w:rFonts w:ascii="Times New Roman" w:hAnsi="Times New Roman" w:cs="Times New Roman"/>
          <w:sz w:val="20"/>
          <w:szCs w:val="20"/>
          <w:lang w:val="en-US"/>
        </w:rPr>
        <w:tab/>
        <w:t xml:space="preserve">Special Needs. The Tenant has End Stage Kidney Failure, is kept alive by Dialysis Treatment 3 times a week. He passed the Transplant Fitness Tests and has been referred to the Transplant Committee  </w:t>
      </w:r>
      <w:r w:rsidRPr="00FF7C9B">
        <w:rPr>
          <w:rFonts w:ascii="Times New Roman" w:hAnsi="Times New Roman" w:cs="Times New Roman"/>
          <w:sz w:val="20"/>
          <w:szCs w:val="20"/>
          <w:lang w:val="en-US"/>
        </w:rPr>
        <w:tab/>
      </w:r>
    </w:p>
    <w:p w14:paraId="6BCC6E1C"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Counterclaim </w:t>
      </w:r>
      <w:r w:rsidRPr="00FF7C9B">
        <w:rPr>
          <w:rFonts w:ascii="Times New Roman" w:hAnsi="Times New Roman" w:cs="Times New Roman"/>
          <w:sz w:val="20"/>
          <w:szCs w:val="20"/>
          <w:lang w:val="en-US"/>
        </w:rPr>
        <w:tab/>
        <w:t>Justice Process Contempt by perversion of the course of justice</w:t>
      </w:r>
    </w:p>
    <w:p w14:paraId="51E78E00" w14:textId="77777777" w:rsidR="008F6C28" w:rsidRPr="00FF7C9B" w:rsidRDefault="00970429" w:rsidP="00970429">
      <w:pPr>
        <w:pStyle w:val="ListParagraph"/>
        <w:numPr>
          <w:ilvl w:val="0"/>
          <w:numId w:val="2"/>
        </w:numPr>
        <w:rPr>
          <w:rFonts w:ascii="Times New Roman" w:hAnsi="Times New Roman" w:cs="Times New Roman"/>
          <w:sz w:val="20"/>
          <w:szCs w:val="20"/>
          <w:lang w:val="en-US"/>
        </w:rPr>
      </w:pPr>
      <w:r w:rsidRPr="00FF7C9B">
        <w:rPr>
          <w:rFonts w:ascii="Times New Roman" w:hAnsi="Times New Roman" w:cs="Times New Roman"/>
          <w:sz w:val="20"/>
          <w:szCs w:val="20"/>
          <w:lang w:val="en-US"/>
        </w:rPr>
        <w:t>Market Fraud Exploitation by use of a Business Management System that is designed to service Evidence Frauds needed to get Protection Frauds from the Judiciary</w:t>
      </w:r>
    </w:p>
    <w:p w14:paraId="5B6EFA4D" w14:textId="77777777" w:rsidR="008F6C28" w:rsidRPr="00FF7C9B" w:rsidRDefault="00970429" w:rsidP="00970429">
      <w:pPr>
        <w:pStyle w:val="ListParagraph"/>
        <w:numPr>
          <w:ilvl w:val="0"/>
          <w:numId w:val="2"/>
        </w:numPr>
        <w:rPr>
          <w:rFonts w:ascii="Times New Roman" w:hAnsi="Times New Roman" w:cs="Times New Roman"/>
          <w:sz w:val="20"/>
          <w:szCs w:val="20"/>
          <w:lang w:val="en-US"/>
        </w:rPr>
      </w:pPr>
      <w:r w:rsidRPr="00FF7C9B">
        <w:rPr>
          <w:rFonts w:ascii="Times New Roman" w:hAnsi="Times New Roman" w:cs="Times New Roman"/>
          <w:sz w:val="20"/>
          <w:szCs w:val="20"/>
          <w:lang w:val="en-US"/>
        </w:rPr>
        <w:t>Failure to respond to Settlement Offers to get Full Payment out of Fraudulently Frozen Assets</w:t>
      </w:r>
    </w:p>
    <w:p w14:paraId="6040F065" w14:textId="77777777" w:rsidR="008F6C28" w:rsidRPr="00FF7C9B" w:rsidRDefault="00970429" w:rsidP="00970429">
      <w:pPr>
        <w:pStyle w:val="ListParagraph"/>
        <w:numPr>
          <w:ilvl w:val="0"/>
          <w:numId w:val="2"/>
        </w:numPr>
        <w:rPr>
          <w:rFonts w:ascii="Times New Roman" w:hAnsi="Times New Roman" w:cs="Times New Roman"/>
          <w:sz w:val="20"/>
          <w:szCs w:val="20"/>
          <w:lang w:val="en-US"/>
        </w:rPr>
      </w:pPr>
      <w:r w:rsidRPr="00FF7C9B">
        <w:rPr>
          <w:rFonts w:ascii="Times New Roman" w:hAnsi="Times New Roman" w:cs="Times New Roman"/>
          <w:sz w:val="20"/>
          <w:szCs w:val="20"/>
          <w:lang w:val="en-US"/>
        </w:rPr>
        <w:t>Failure to use Legal Action Liberty to take Remedy Action with the Defendant, that Legal Action</w:t>
      </w:r>
      <w:r w:rsidR="008F6C28" w:rsidRPr="00FF7C9B">
        <w:rPr>
          <w:rFonts w:ascii="Times New Roman" w:hAnsi="Times New Roman" w:cs="Times New Roman"/>
          <w:sz w:val="20"/>
          <w:szCs w:val="20"/>
          <w:lang w:val="en-US"/>
        </w:rPr>
        <w:t xml:space="preserve"> </w:t>
      </w:r>
      <w:r w:rsidRPr="00FF7C9B">
        <w:rPr>
          <w:rFonts w:ascii="Times New Roman" w:hAnsi="Times New Roman" w:cs="Times New Roman"/>
          <w:sz w:val="20"/>
          <w:szCs w:val="20"/>
          <w:lang w:val="en-US"/>
        </w:rPr>
        <w:t>Restraint Frauds prevented him from doing alone, and thereby accessing Fraudulently Frozen Assets needed pay the Rent Arrears</w:t>
      </w:r>
    </w:p>
    <w:p w14:paraId="5E1ADC1C" w14:textId="319D890B" w:rsidR="00970429" w:rsidRPr="00FF7C9B" w:rsidRDefault="00970429" w:rsidP="00970429">
      <w:pPr>
        <w:pStyle w:val="ListParagraph"/>
        <w:numPr>
          <w:ilvl w:val="0"/>
          <w:numId w:val="2"/>
        </w:numPr>
        <w:rPr>
          <w:rFonts w:ascii="Times New Roman" w:hAnsi="Times New Roman" w:cs="Times New Roman"/>
          <w:sz w:val="20"/>
          <w:szCs w:val="20"/>
          <w:lang w:val="en-US"/>
        </w:rPr>
      </w:pPr>
      <w:r w:rsidRPr="00FF7C9B">
        <w:rPr>
          <w:rFonts w:ascii="Times New Roman" w:hAnsi="Times New Roman" w:cs="Times New Roman"/>
          <w:sz w:val="20"/>
          <w:szCs w:val="20"/>
          <w:lang w:val="en-US"/>
        </w:rPr>
        <w:t>Failure to disclose the Settlement Offers and Remedy Action Failures</w:t>
      </w:r>
    </w:p>
    <w:p w14:paraId="477B0160"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Proposals</w:t>
      </w:r>
    </w:p>
    <w:p w14:paraId="60E6189F" w14:textId="77777777" w:rsidR="008F6C28" w:rsidRPr="00FF7C9B" w:rsidRDefault="00970429" w:rsidP="00970429">
      <w:pPr>
        <w:pStyle w:val="ListParagraph"/>
        <w:numPr>
          <w:ilvl w:val="0"/>
          <w:numId w:val="3"/>
        </w:numPr>
        <w:rPr>
          <w:rFonts w:ascii="Times New Roman" w:hAnsi="Times New Roman" w:cs="Times New Roman"/>
          <w:sz w:val="20"/>
          <w:szCs w:val="20"/>
          <w:lang w:val="en-US"/>
        </w:rPr>
      </w:pPr>
      <w:r w:rsidRPr="00FF7C9B">
        <w:rPr>
          <w:rFonts w:ascii="Times New Roman" w:hAnsi="Times New Roman" w:cs="Times New Roman"/>
          <w:sz w:val="20"/>
          <w:szCs w:val="20"/>
          <w:lang w:val="en-US"/>
        </w:rPr>
        <w:t>Validity Investigation Order for the Tenant against the Landlord to discover whether a Conflict</w:t>
      </w:r>
      <w:r w:rsidR="008F6C28" w:rsidRPr="00FF7C9B">
        <w:rPr>
          <w:rFonts w:ascii="Times New Roman" w:hAnsi="Times New Roman" w:cs="Times New Roman"/>
          <w:sz w:val="20"/>
          <w:szCs w:val="20"/>
          <w:lang w:val="en-US"/>
        </w:rPr>
        <w:t xml:space="preserve"> </w:t>
      </w:r>
      <w:r w:rsidRPr="00FF7C9B">
        <w:rPr>
          <w:rFonts w:ascii="Times New Roman" w:hAnsi="Times New Roman" w:cs="Times New Roman"/>
          <w:sz w:val="20"/>
          <w:szCs w:val="20"/>
          <w:lang w:val="en-US"/>
        </w:rPr>
        <w:t>Disqualification against the Judiciary, or an Unremedied Party Inequality or Anything Else is a Common Law Compliance Failure that invalidates use of Conflict Powers for the Claimant against the Defendant</w:t>
      </w:r>
    </w:p>
    <w:p w14:paraId="779BD651" w14:textId="77777777" w:rsidR="008F6C28" w:rsidRPr="00FF7C9B" w:rsidRDefault="00970429" w:rsidP="00970429">
      <w:pPr>
        <w:pStyle w:val="ListParagraph"/>
        <w:numPr>
          <w:ilvl w:val="0"/>
          <w:numId w:val="3"/>
        </w:numPr>
        <w:rPr>
          <w:rFonts w:ascii="Times New Roman" w:hAnsi="Times New Roman" w:cs="Times New Roman"/>
          <w:sz w:val="20"/>
          <w:szCs w:val="20"/>
          <w:lang w:val="en-US"/>
        </w:rPr>
      </w:pPr>
      <w:r w:rsidRPr="00FF7C9B">
        <w:rPr>
          <w:rFonts w:ascii="Times New Roman" w:hAnsi="Times New Roman" w:cs="Times New Roman"/>
          <w:sz w:val="20"/>
          <w:szCs w:val="20"/>
          <w:lang w:val="en-US"/>
        </w:rPr>
        <w:t>Contempt Investigation Order</w:t>
      </w:r>
    </w:p>
    <w:p w14:paraId="11E8D193" w14:textId="77777777" w:rsidR="008F6C28" w:rsidRPr="00FF7C9B" w:rsidRDefault="00970429" w:rsidP="00970429">
      <w:pPr>
        <w:pStyle w:val="ListParagraph"/>
        <w:numPr>
          <w:ilvl w:val="0"/>
          <w:numId w:val="3"/>
        </w:numPr>
        <w:rPr>
          <w:rFonts w:ascii="Times New Roman" w:hAnsi="Times New Roman" w:cs="Times New Roman"/>
          <w:sz w:val="20"/>
          <w:szCs w:val="20"/>
          <w:lang w:val="en-US"/>
        </w:rPr>
      </w:pPr>
      <w:r w:rsidRPr="00FF7C9B">
        <w:rPr>
          <w:rFonts w:ascii="Times New Roman" w:hAnsi="Times New Roman" w:cs="Times New Roman"/>
          <w:sz w:val="20"/>
          <w:szCs w:val="20"/>
          <w:lang w:val="en-US"/>
        </w:rPr>
        <w:t>Investigation Resource Reference to Parliament</w:t>
      </w:r>
    </w:p>
    <w:p w14:paraId="0A0D8C19" w14:textId="77777777" w:rsidR="008F6C28" w:rsidRPr="00FF7C9B" w:rsidRDefault="00970429" w:rsidP="00970429">
      <w:pPr>
        <w:pStyle w:val="ListParagraph"/>
        <w:numPr>
          <w:ilvl w:val="0"/>
          <w:numId w:val="3"/>
        </w:numPr>
        <w:rPr>
          <w:rFonts w:ascii="Times New Roman" w:hAnsi="Times New Roman" w:cs="Times New Roman"/>
          <w:sz w:val="20"/>
          <w:szCs w:val="20"/>
          <w:lang w:val="en-US"/>
        </w:rPr>
      </w:pPr>
      <w:r w:rsidRPr="00FF7C9B">
        <w:rPr>
          <w:rFonts w:ascii="Times New Roman" w:hAnsi="Times New Roman" w:cs="Times New Roman"/>
          <w:sz w:val="20"/>
          <w:szCs w:val="20"/>
          <w:lang w:val="en-US"/>
        </w:rPr>
        <w:t>Pending Remedies Enforcement Stay for the Tenant against the Landlord</w:t>
      </w:r>
    </w:p>
    <w:p w14:paraId="074E6F17" w14:textId="5CE64C64" w:rsidR="00970429" w:rsidRPr="00FF7C9B" w:rsidRDefault="00970429" w:rsidP="00970429">
      <w:pPr>
        <w:pStyle w:val="ListParagraph"/>
        <w:numPr>
          <w:ilvl w:val="0"/>
          <w:numId w:val="3"/>
        </w:numPr>
        <w:rPr>
          <w:rFonts w:ascii="Times New Roman" w:hAnsi="Times New Roman" w:cs="Times New Roman"/>
          <w:sz w:val="20"/>
          <w:szCs w:val="20"/>
          <w:lang w:val="en-US"/>
        </w:rPr>
      </w:pPr>
      <w:r w:rsidRPr="00FF7C9B">
        <w:rPr>
          <w:rFonts w:ascii="Times New Roman" w:hAnsi="Times New Roman" w:cs="Times New Roman"/>
          <w:sz w:val="20"/>
          <w:szCs w:val="20"/>
          <w:lang w:val="en-US"/>
        </w:rPr>
        <w:t>Validity and Contempt Investigation Directions Hearing at</w:t>
      </w:r>
      <w:r w:rsidRPr="00FF7C9B">
        <w:rPr>
          <w:rFonts w:ascii="Times New Roman" w:hAnsi="Times New Roman" w:cs="Times New Roman"/>
          <w:sz w:val="20"/>
          <w:szCs w:val="20"/>
          <w:lang w:val="en-US"/>
        </w:rPr>
        <w:tab/>
      </w:r>
      <w:r w:rsidRPr="00FF7C9B">
        <w:rPr>
          <w:rFonts w:ascii="Times New Roman" w:hAnsi="Times New Roman" w:cs="Times New Roman"/>
          <w:sz w:val="20"/>
          <w:szCs w:val="20"/>
          <w:lang w:val="en-US"/>
        </w:rPr>
        <w:tab/>
        <w:t>on</w:t>
      </w:r>
      <w:r w:rsidRPr="00FF7C9B">
        <w:rPr>
          <w:rFonts w:ascii="Times New Roman" w:hAnsi="Times New Roman" w:cs="Times New Roman"/>
          <w:sz w:val="20"/>
          <w:szCs w:val="20"/>
          <w:lang w:val="en-US"/>
        </w:rPr>
        <w:tab/>
      </w:r>
      <w:r w:rsidRPr="00FF7C9B">
        <w:rPr>
          <w:rFonts w:ascii="Times New Roman" w:hAnsi="Times New Roman" w:cs="Times New Roman"/>
          <w:sz w:val="20"/>
          <w:szCs w:val="20"/>
          <w:lang w:val="en-US"/>
        </w:rPr>
        <w:tab/>
        <w:t>2025</w:t>
      </w:r>
    </w:p>
    <w:p w14:paraId="4CB9C1E9"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Arrears Reasons</w:t>
      </w:r>
      <w:r w:rsidRPr="00FF7C9B">
        <w:rPr>
          <w:rFonts w:ascii="Times New Roman" w:hAnsi="Times New Roman" w:cs="Times New Roman"/>
          <w:sz w:val="20"/>
          <w:szCs w:val="20"/>
          <w:lang w:val="en-US"/>
        </w:rPr>
        <w:tab/>
      </w:r>
    </w:p>
    <w:p w14:paraId="0D50E4EF"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The Tenant is an Equity Lawyer. Since 2004, he has serviced a Corruption Remedy Process managed by the Coronation Oath Enforcement Authority. It discovered that the Protection Fraud Network managed Endemic Corruption. They use Top State Officers and Top Judges to manage Crime Businesses. They use Cabinet Officers and Top Judges to manage the Top Business. It manages:</w:t>
      </w:r>
    </w:p>
    <w:p w14:paraId="736B5DC4"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1. Land Frauds for them against the State</w:t>
      </w:r>
    </w:p>
    <w:p w14:paraId="78F92A33"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2. Protection Frauds for Crime Businesses managed by State Officers and Law Court Judges</w:t>
      </w:r>
    </w:p>
    <w:p w14:paraId="09D4EC6E"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lastRenderedPageBreak/>
        <w:t>Sample Businesses are:</w:t>
      </w:r>
    </w:p>
    <w:p w14:paraId="487EDBDA"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1. Top Police, Top Customs and Top Judges manage the Top Drug Crime Business. Top Drug Sales got with Protection Frauds that included Child Prostitution.</w:t>
      </w:r>
    </w:p>
    <w:p w14:paraId="45C51442"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2. State Officers and Law Court Judges manage Family Sabotage Frauds + Child Thefts to get Big Budgets + Budget Fraud Profits and use Expatriation Frauds to get Money Laundering Services from Sovereign States.</w:t>
      </w:r>
    </w:p>
    <w:p w14:paraId="34A70E8E"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3. Financial Service Agents, State Officers and Law Court Judges use Client Wealth Details to identify Ruin Fraud Targets and manage everything needed to take everything. </w:t>
      </w:r>
    </w:p>
    <w:p w14:paraId="23FD9863" w14:textId="44C4408C"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4. Big Owners, State Officers and Law Court Judges manage Land Frauds against Small Businesses.</w:t>
      </w:r>
    </w:p>
    <w:p w14:paraId="22448D97" w14:textId="50C38659"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The Land Frauds against the State need use of a Business Management System services Evidence Frauds needed to get Protection Frauds from the Judiciary. It is Evidence Destruction and Evidence Denial. The Corruption Remedy Process needed a New Court Claim that got Evidence Concealment Proof against a Claimant. The M3PP2259 Possession Claim does it. The</w:t>
      </w:r>
      <w:r w:rsidR="00FF7C9B" w:rsidRPr="00FF7C9B">
        <w:rPr>
          <w:rFonts w:ascii="Times New Roman" w:hAnsi="Times New Roman" w:cs="Times New Roman"/>
          <w:sz w:val="20"/>
          <w:szCs w:val="20"/>
          <w:lang w:val="en-US"/>
        </w:rPr>
        <w:t xml:space="preserve"> </w:t>
      </w:r>
      <w:r w:rsidRPr="00FF7C9B">
        <w:rPr>
          <w:rFonts w:ascii="Times New Roman" w:hAnsi="Times New Roman" w:cs="Times New Roman"/>
          <w:sz w:val="20"/>
          <w:szCs w:val="20"/>
          <w:lang w:val="en-US"/>
        </w:rPr>
        <w:t xml:space="preserve">Settlement Offers and Counterclaim Notices from Defendant got No Response from the Claimant. The Claim Form and Claim Particulars do not mention them. It is a Justice Process Contempt to ignore </w:t>
      </w:r>
    </w:p>
    <w:p w14:paraId="6F1BA77A" w14:textId="7805E86F"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In 2004, the preparations for the European Referenda got Election Fraud Proof against the European Leaders including Prime Minister Mr Blair. The Lawful Business of UK Citizens made inevitable exposure of the Election Frauds before the European Referenda that planned for 2005. The European Leaders made an Election Fraud Concealment Plan. It used Sabotage Frauds against the Lawful Business. They were Drug Crime Framing Frauds to get Imprisonment Frauds by the Netherlands against two Business Managers. One was a UK Citizen and the other a Netherlands Citizen. They dare not risk a Jury Trial in UK. They used Judge Trials in the Netherlands. They did not have an Extradition Treaty or the time to make one. </w:t>
      </w:r>
    </w:p>
    <w:p w14:paraId="566F189F" w14:textId="3DFD1426"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1st Plan used Armed Dutch Police on UK soil to supervise UK Customs and Kent Police managed a Kidnap Extradition fraud against the UK Citizen. Everything that could go wrong for the European Leaders did go wrong. The European Leaders and the Dutch Investigators did not know the Extradition Target a complex series of events got Incredible Target Status for the UK Citizen in Drug Crime Investigations. They did not know the Top Drug Dealers had used his address as the Decoy Address on more than 70 Drug Shipments, and one was in transit when the preparations for the Extradition Fraud were in progress. UK Customs knew that all States used Kidnap Extradition Frauds. This was the first Joint Extradition Fraud by EU States. UK Customs did not believe that is what it was. They thought the UK Citizen had discovered the Decoy Address Frauds reported it, and was assisting a Decoy Address Investigation. They got News Coverage of a Big Drugs Bust and International Co-operation, and managed Investigation Sabotage Frauds. The UK Citizen was </w:t>
      </w:r>
      <w:r w:rsidR="00647944" w:rsidRPr="00FF7C9B">
        <w:rPr>
          <w:rFonts w:ascii="Times New Roman" w:hAnsi="Times New Roman" w:cs="Times New Roman"/>
          <w:sz w:val="20"/>
          <w:szCs w:val="20"/>
          <w:lang w:val="en-US"/>
        </w:rPr>
        <w:t>in UK</w:t>
      </w:r>
      <w:r w:rsidRPr="00FF7C9B">
        <w:rPr>
          <w:rFonts w:ascii="Times New Roman" w:hAnsi="Times New Roman" w:cs="Times New Roman"/>
          <w:sz w:val="20"/>
          <w:szCs w:val="20"/>
          <w:lang w:val="en-US"/>
        </w:rPr>
        <w:t xml:space="preserve"> Prison with Jury Trial Rights and an Investigation Record that was Innocence Proof for him and Guilt Proof against the Investigators. The 1st Plan had failed.</w:t>
      </w:r>
    </w:p>
    <w:p w14:paraId="335E7363" w14:textId="0E2BFD09"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The 2nd Plan got an Extradition Treaty, Immunity Frauds for the Top Drug Dealers, Election fraud Concealment Services for the European Leaders, a Network Business Profit Share for Prime Minister Mr Blair, Cabinet Control for the Network, revived active service of the Coronation Oath Enforcement Authority and a Corruption Remedy process for the People.</w:t>
      </w:r>
    </w:p>
    <w:p w14:paraId="69443C8C" w14:textId="4897068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Corruption Remedy Process needed Research investigations to discover the structure and strength of the Protection Fraud Network, and then Remedy Delivery. The Standard Procedure is Dismissal Executions against the Judiciary by a United Parliament, Victim Identification, Case Remedies and an International Agreement for Remedy Enforcement against Fraud Profiteers. a Parliament Unity Failure creates the need for a Special Procedure. It uses Imprisonment Fraud Proof against the Judiciary for a Judicial Unfitness Finding, Imprisonment Fraud Finding, Protection Fraud Finding, and Enforcement Fraud Finding by the Parliament Sessions Court, Finding Pronouncements by the Opposition Leader and Parliament Committees, and Mass Publicity for Demonstration Cases.  </w:t>
      </w:r>
    </w:p>
    <w:p w14:paraId="481BF570" w14:textId="64E25516"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2021 Parliament Session Grant required Remedy Delivery using the Standard Procedure. It needed Dismissal Executions against the Judiciary by a United Parliament. Dismissal Failures were Protection Fraud Proof against the Cabinet. The Default Penalty was a Dismissal Decision against Prime Minister Mr Johnson. The Dismissal Failure was Protection Fraud Proof against Opposition Leader Sir Keir Starmer and Parliament. It created the need for the Special </w:t>
      </w:r>
      <w:r w:rsidRPr="00FF7C9B">
        <w:rPr>
          <w:rFonts w:ascii="Times New Roman" w:hAnsi="Times New Roman" w:cs="Times New Roman"/>
          <w:sz w:val="20"/>
          <w:szCs w:val="20"/>
          <w:lang w:val="en-US"/>
        </w:rPr>
        <w:lastRenderedPageBreak/>
        <w:t xml:space="preserve">Procedure. It needed Imprisonment Fraud Proof against the Judiciary, the Findings Set, Finding Pronouncements and use of it to get the International Agreement for Remedy Enforcement against Fraud Profiteers. </w:t>
      </w:r>
    </w:p>
    <w:p w14:paraId="69912F05" w14:textId="59E72A59"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The Imprisonment Fraud Proof against the Judiciary needed Set Up Conditions. They were Corruption Remedy Conditions in the Parliament Session Grants. They were an Unqualified Legal Service Crime Prosecution Prohibition and Civil Contempt Enforcement Prohibition. It enabled Equity Lawyers to provide Case Management Services that got Protection fraud Demands by State Officers that needed use of Civil Contempt Powers with all Major Decisions made by Top Judges. Case Management Services by Equity Lawyer Mr Ellis got Restraint Fraud Proof + Restraint Breach Fraud Proof + Contempt Fraud Proof against the Judiciary in readiness for the Special Process if it was needed. In 2021 it was needed. A Civil Enforcement Release by the Parliament Session Court, Contempt Remedy Claims by the Equity Lawyer and Contempt Enforcement Action by the Cabinet got a complete set of Imprisonment Fraud Proof against the Judiciary. The Finding Set got Mass Publicity using Demonstration Cases. They were the 17 Years Imprisonment Fraud + Police Station Video Concealment Protection Fraud + Forced Addition of Prisoners by Prison Officers and Addiction Finance Extortion frauds by Prison Officers against Family Members. In December 2023, the G7 Summit got the International Agreement for Remedy Enforcement against Fraud Profiteers. It got Damage Payments from Fraud Profiteers to finance a Dedicated Budget, controlled by the Cabinet. It enabled exposure and remedy of the Post Office Scandal and the Contaminated Blood Scandal. The Scandal Exposure got an increase in the MP Retirement Rate, an Incredible Choice and Slip Conservative Values Majority Vote that enabled a Minority Vote to get a Landslide Majority led by Sir Keir Starmer.</w:t>
      </w:r>
    </w:p>
    <w:p w14:paraId="1C1DC56C" w14:textId="14506DC1"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2024 Parliament Session Grant required Remedy Delivery, starting with 20,000 Imprisonment Fraud Releases. The 3,500 Guilty Prisoner Releases for the Overcrowding reason was a Grant Condition Breach. It got a Remedy Denial Fraud Finding + Mass Publicity for Bribery Questions of the Cabinet in the week before the Political Party Conference. The Parliament Session Court gave priority to the Church of England Scandal. It prepared Blackmail Conditions against the Cabinet. It needed the US Presidential Elect Team, UK Opposition Leaders and Child Prostitution Scandal. It got Remedy Delivery Co-operation Commitments with Dismissal Executions against the Judiciary by Monday 14th July 2025. </w:t>
      </w:r>
    </w:p>
    <w:p w14:paraId="4B36056C" w14:textId="6C8F3B49"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Remedy Process had a Dismissal Success Support Plan and a Dismissal Failure Contingency Plan. They required the listing of Essex Crown Court Case 2023 0058 at Basildon for Thursday 17th July 2025, to set Remedy Precedents in the event of a Dismissal Success, or for a Case Collapse, in the event of a Dismissal Failure. They chose the case because the Event Videos were Contact Avoidance Proof + Assault Innocence Proof + Injury Fabrication Proof + Undamaged Goods Proof + Criminal Damage Fabrication Proof for Citizen Mr Nkrumah against the Witnesses, Investigators, Prosecutors, Trial Adjudicators, Appeal Adjudicators and Cabinet. The Case Collapse was Testimony Refusals by 6 out of 7 Event Witnesses, and Investigator Production Failures by the Prosecutor. The Cabinet dare not risk the Case Collapse becoming a Trial Collapse of the Protection Fraud Network. They used the Essex Family Court Case CM2590597 at Chelmsford for a Restraint Fraud to prepare for Restraint Breach Framing Frauds and a Remand Custody Imprisonment Fraud. They used the Pretence Fraud that Electronic Contact from one of the 3 children was Electronic Contact by him and a Restraint Breach for an Arrest Fraud at the Trial End, and then a Remand Fraud. </w:t>
      </w:r>
    </w:p>
    <w:p w14:paraId="715CD66C" w14:textId="071792F6"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Cabinet Officers and Top Judges made Land Frauds Business Expansion Plan. It needed a Big Business to develop the Business System, and manage a Priming Case That identified and rewarded Corrupt Professionals and identified and penalised Honest Professionals. Merger Decisions got the London and Quadrant Housing Association. It was the Big Business. The Fraud Commitment Proof from Housing Officers needed to get Protection Frauds from Top Judges was a Business Management System that serviced Evidence Frauds, Land Title Records Destruction and the production many thousand Forged Tenancies and service of them on Tenants. Forgery Complaints by Tenant Mr Nkrumah was a Corruption Exposure Risk. Protection Fraud Demands by Housing Officers and Cabinet Officers, Ruin Fraud Service Calls by Top Judges got Framing Frauds by Top Police. A Profit Share Demand by Top Police, Share Refusal by Cabinet Officers and Top Judges got a Pending Profit Share Service Refusal by Top Police. IN January 2020, Mr Nkrumah discovered the Coronation Oath Enforcement Authority. He gave the Remedy process use of his cases. Protection Fraud Service Calls by Court Officers got Service Refusals by Competent Police Officers and Incompetent Efforts by Idiot Police Officers. All of them got Innocence Proof for Mr Nkrumah and Guilt Proof against the Framing Fraud Conspirators. The Seal Ink on Original Documents and Record Inconsistencies were Forensic Test Material for </w:t>
      </w:r>
      <w:r w:rsidRPr="00FF7C9B">
        <w:rPr>
          <w:rFonts w:ascii="Times New Roman" w:hAnsi="Times New Roman" w:cs="Times New Roman"/>
          <w:sz w:val="20"/>
          <w:szCs w:val="20"/>
          <w:lang w:val="en-US"/>
        </w:rPr>
        <w:lastRenderedPageBreak/>
        <w:t>Corruption Investigations. Cabinet Officers and Top Judges made an Investigation Sabotage Plan. It needed Documents Theft and Electronic Devices Theft. They needed Theft Target Locations. Mr Nkrumah was homeless, relied on friends for Sofa Services. He provided Care Services for the 3 children because the Chronically Immature Mother could not cope. In September 2020, a Hearing Event got original Document Production from a Nig Blue Bag by Mr Nkrumah, a Documents Location Report from Court Officers, a Theft Order from Top Judges, and use of the return journey and a Theft Agent for a Big Blue Bag Snatch Theft as Mr Nkrumah left Seven Sisters Railway Station. The Electronic Device Theft needed a Theft Manager. Science teacher Mr Benjamin Koomson was the Network Drug Wholesaler for the area where the children lived. He provided Money Laundering Services for the Local Judges and Local Police. They gave him the Electronic Device Theft Contract. He used the Chronically Immature Mother and a Private Landlord as Theft Agents. A Home Move by her and Tenancy Promise frauds from the Private Landlord persuaded Mr Nkrumah to put in the house his Case Records + Electronic Devices + Cash + Other Goods and thereby enabled Immediate Theft. Drug Wholesaler Mr Koomson could not resist the temptation to prostitute the Chronically Immature Mother and used her to prostitute the 14-Year-Old Daughter. She though it was grown up, but soon tired of servicing old men to make profits for the Pimps. She wanted her boyfriend, to stop providing Under Age Parental Care Services for her younger brothers, and a resumption of Care Services by Mr Nkrumah. The Fraud Conspirators needed to separate the children from him. They used the Chronically Immature Mother, Metropolitan Police, Local Authority Child Protection Team, School Officers and Law Courts to do it.</w:t>
      </w:r>
    </w:p>
    <w:p w14:paraId="119AD29E"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Coronation Oath Enforcement Authority used the case, the Blackmail Statement dated 14th October 2024 of Mr Nkrumah </w:t>
      </w:r>
    </w:p>
    <w:p w14:paraId="29DF74D4" w14:textId="4DE245DF"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and Additional Evidence Notice for Investigation 01YE154123 to get Case References and Child Prostitution Protection Fraud Proof against the Attorney General, Justice Secretary, Home Secretary Ms Cooper and Prime Minister Sir Keir Starmer. </w:t>
      </w:r>
    </w:p>
    <w:p w14:paraId="79B7593C" w14:textId="0987E2D5"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Remand Custody enabled the Crown Court Plea Hearing on 8th August 2025 to get an Audio Record that is Imprisonment Fraud Blackmail Proof for Mr Nkrumah and Career Blackmail Proof for the Prosecutor against Judge Mr Green. The Case Dates of Disclosure by 11 September, </w:t>
      </w:r>
      <w:proofErr w:type="spellStart"/>
      <w:r w:rsidRPr="00FF7C9B">
        <w:rPr>
          <w:rFonts w:ascii="Times New Roman" w:hAnsi="Times New Roman" w:cs="Times New Roman"/>
          <w:sz w:val="20"/>
          <w:szCs w:val="20"/>
          <w:lang w:val="en-US"/>
        </w:rPr>
        <w:t>Defence</w:t>
      </w:r>
      <w:proofErr w:type="spellEnd"/>
      <w:r w:rsidRPr="00FF7C9B">
        <w:rPr>
          <w:rFonts w:ascii="Times New Roman" w:hAnsi="Times New Roman" w:cs="Times New Roman"/>
          <w:sz w:val="20"/>
          <w:szCs w:val="20"/>
          <w:lang w:val="en-US"/>
        </w:rPr>
        <w:t xml:space="preserve"> Statement by 9th October, Response by 6th November and Pre Trial + Custody Extension Hearing by 18th December 2025, and Remand Custody Threats and a Trial Date on 21st April 2026, from Judge Mr Green got the Unconditional Bail Case Reminder + Early Hearing Proposal for 11th September by the Prosecutor got an Emphatic Early Hearing Refusal by Judge Mr Green.</w:t>
      </w:r>
    </w:p>
    <w:p w14:paraId="0976839D" w14:textId="2E6DA675"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Mr Nkrumah is using the Imprisonment Fraud for Service Tests that are getting fraud Proof against the Prison Authorities. </w:t>
      </w:r>
    </w:p>
    <w:p w14:paraId="02C5F376" w14:textId="32916031"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 xml:space="preserve">The Without Prejudice Full Payment will terminate Possession Powers but enable Issue Testing </w:t>
      </w:r>
      <w:proofErr w:type="spellStart"/>
      <w:r w:rsidRPr="00FF7C9B">
        <w:rPr>
          <w:rFonts w:ascii="Times New Roman" w:hAnsi="Times New Roman" w:cs="Times New Roman"/>
          <w:sz w:val="20"/>
          <w:szCs w:val="20"/>
          <w:lang w:val="en-US"/>
        </w:rPr>
        <w:t>ot</w:t>
      </w:r>
      <w:proofErr w:type="spellEnd"/>
      <w:r w:rsidRPr="00FF7C9B">
        <w:rPr>
          <w:rFonts w:ascii="Times New Roman" w:hAnsi="Times New Roman" w:cs="Times New Roman"/>
          <w:sz w:val="20"/>
          <w:szCs w:val="20"/>
          <w:lang w:val="en-US"/>
        </w:rPr>
        <w:t xml:space="preserve"> the Essex Judges at Chelmsford.</w:t>
      </w:r>
    </w:p>
    <w:p w14:paraId="7F19B6E7" w14:textId="77777777" w:rsidR="00970429" w:rsidRPr="00FF7C9B" w:rsidRDefault="00970429" w:rsidP="00970429">
      <w:pPr>
        <w:rPr>
          <w:rFonts w:ascii="Times New Roman" w:hAnsi="Times New Roman" w:cs="Times New Roman"/>
          <w:sz w:val="20"/>
          <w:szCs w:val="20"/>
          <w:lang w:val="en-US"/>
        </w:rPr>
      </w:pPr>
      <w:r w:rsidRPr="00FF7C9B">
        <w:rPr>
          <w:rFonts w:ascii="Times New Roman" w:hAnsi="Times New Roman" w:cs="Times New Roman"/>
          <w:sz w:val="20"/>
          <w:szCs w:val="20"/>
          <w:lang w:val="en-US"/>
        </w:rPr>
        <w:t>Equity Lawyer Mr Ellis</w:t>
      </w:r>
    </w:p>
    <w:p w14:paraId="188AAF3D" w14:textId="77777777" w:rsidR="00970429" w:rsidRPr="00FF7C9B" w:rsidRDefault="00970429" w:rsidP="00970429">
      <w:pPr>
        <w:rPr>
          <w:rFonts w:ascii="Times New Roman" w:hAnsi="Times New Roman" w:cs="Times New Roman"/>
          <w:sz w:val="20"/>
          <w:szCs w:val="20"/>
          <w:lang w:val="en-US"/>
        </w:rPr>
      </w:pPr>
    </w:p>
    <w:p w14:paraId="1B71702F" w14:textId="77777777" w:rsidR="00970429" w:rsidRPr="00FF7C9B" w:rsidRDefault="00970429" w:rsidP="00970429">
      <w:pPr>
        <w:rPr>
          <w:rFonts w:ascii="Times New Roman" w:hAnsi="Times New Roman" w:cs="Times New Roman"/>
          <w:sz w:val="20"/>
          <w:szCs w:val="20"/>
          <w:lang w:val="en-US"/>
        </w:rPr>
      </w:pPr>
    </w:p>
    <w:p w14:paraId="69E97750" w14:textId="77777777" w:rsidR="00970429" w:rsidRPr="00FF7C9B" w:rsidRDefault="00970429" w:rsidP="00970429">
      <w:pPr>
        <w:rPr>
          <w:rFonts w:ascii="Times New Roman" w:hAnsi="Times New Roman" w:cs="Times New Roman"/>
          <w:sz w:val="20"/>
          <w:szCs w:val="20"/>
          <w:lang w:val="en-US"/>
        </w:rPr>
      </w:pPr>
    </w:p>
    <w:p w14:paraId="3C9339C4" w14:textId="77777777" w:rsidR="00970429" w:rsidRPr="00FF7C9B" w:rsidRDefault="00970429" w:rsidP="00970429">
      <w:pPr>
        <w:rPr>
          <w:rFonts w:ascii="Times New Roman" w:hAnsi="Times New Roman" w:cs="Times New Roman"/>
          <w:sz w:val="20"/>
          <w:szCs w:val="20"/>
          <w:lang w:val="en-US"/>
        </w:rPr>
      </w:pPr>
    </w:p>
    <w:p w14:paraId="771BD7C9" w14:textId="77777777" w:rsidR="00970429" w:rsidRPr="00FF7C9B" w:rsidRDefault="00970429" w:rsidP="00970429">
      <w:pPr>
        <w:rPr>
          <w:rFonts w:ascii="Times New Roman" w:hAnsi="Times New Roman" w:cs="Times New Roman"/>
          <w:sz w:val="20"/>
          <w:szCs w:val="20"/>
          <w:lang w:val="en-US"/>
        </w:rPr>
      </w:pPr>
    </w:p>
    <w:p w14:paraId="02323415" w14:textId="77777777" w:rsidR="00970429" w:rsidRPr="00FF7C9B" w:rsidRDefault="00970429" w:rsidP="00970429">
      <w:pPr>
        <w:rPr>
          <w:rFonts w:ascii="Times New Roman" w:hAnsi="Times New Roman" w:cs="Times New Roman"/>
          <w:sz w:val="20"/>
          <w:szCs w:val="20"/>
          <w:lang w:val="en-US"/>
        </w:rPr>
      </w:pPr>
    </w:p>
    <w:p w14:paraId="5B04B90F" w14:textId="77777777" w:rsidR="00970429" w:rsidRPr="00FF7C9B" w:rsidRDefault="00970429" w:rsidP="00970429">
      <w:pPr>
        <w:rPr>
          <w:rFonts w:ascii="Times New Roman" w:hAnsi="Times New Roman" w:cs="Times New Roman"/>
          <w:sz w:val="20"/>
          <w:szCs w:val="20"/>
          <w:lang w:val="en-US"/>
        </w:rPr>
      </w:pPr>
    </w:p>
    <w:bookmarkEnd w:id="0"/>
    <w:p w14:paraId="7F369FB3" w14:textId="77777777" w:rsidR="00970429" w:rsidRPr="00FF7C9B" w:rsidRDefault="00970429">
      <w:pPr>
        <w:rPr>
          <w:rFonts w:ascii="Times New Roman" w:hAnsi="Times New Roman" w:cs="Times New Roman"/>
          <w:sz w:val="20"/>
          <w:szCs w:val="20"/>
          <w:lang w:val="en-US"/>
        </w:rPr>
      </w:pPr>
    </w:p>
    <w:sectPr w:rsidR="00970429" w:rsidRPr="00FF7C9B" w:rsidSect="0097042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4A17" w14:textId="77777777" w:rsidR="00970429" w:rsidRDefault="00970429" w:rsidP="00970429">
      <w:pPr>
        <w:spacing w:after="0" w:line="240" w:lineRule="auto"/>
      </w:pPr>
      <w:r>
        <w:separator/>
      </w:r>
    </w:p>
  </w:endnote>
  <w:endnote w:type="continuationSeparator" w:id="0">
    <w:p w14:paraId="15B002BF" w14:textId="77777777" w:rsidR="00970429" w:rsidRDefault="00970429" w:rsidP="0097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81F2" w14:textId="77777777" w:rsidR="00917099" w:rsidRDefault="00917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884491817"/>
      <w:docPartObj>
        <w:docPartGallery w:val="Page Numbers (Bottom of Page)"/>
        <w:docPartUnique/>
      </w:docPartObj>
    </w:sdtPr>
    <w:sdtContent>
      <w:sdt>
        <w:sdtPr>
          <w:rPr>
            <w:rFonts w:ascii="Times New Roman" w:hAnsi="Times New Roman" w:cs="Times New Roman"/>
            <w:sz w:val="16"/>
            <w:szCs w:val="16"/>
          </w:rPr>
          <w:id w:val="-1705238520"/>
          <w:docPartObj>
            <w:docPartGallery w:val="Page Numbers (Top of Page)"/>
            <w:docPartUnique/>
          </w:docPartObj>
        </w:sdtPr>
        <w:sdtContent>
          <w:p w14:paraId="18240E4D" w14:textId="60699BD1" w:rsidR="00FF7C9B" w:rsidRPr="00FF7C9B" w:rsidRDefault="00FF7C9B" w:rsidP="00FF7C9B">
            <w:pPr>
              <w:pStyle w:val="Footer"/>
              <w:jc w:val="center"/>
              <w:rPr>
                <w:rFonts w:ascii="Times New Roman" w:hAnsi="Times New Roman" w:cs="Times New Roman"/>
                <w:sz w:val="16"/>
                <w:szCs w:val="16"/>
              </w:rPr>
            </w:pPr>
            <w:r w:rsidRPr="00FF7C9B">
              <w:rPr>
                <w:rFonts w:ascii="Times New Roman" w:hAnsi="Times New Roman" w:cs="Times New Roman"/>
                <w:sz w:val="16"/>
                <w:szCs w:val="16"/>
              </w:rPr>
              <w:t xml:space="preserve">Page </w:t>
            </w:r>
            <w:r w:rsidRPr="00FF7C9B">
              <w:rPr>
                <w:rFonts w:ascii="Times New Roman" w:hAnsi="Times New Roman" w:cs="Times New Roman"/>
                <w:b/>
                <w:bCs/>
                <w:sz w:val="16"/>
                <w:szCs w:val="16"/>
              </w:rPr>
              <w:fldChar w:fldCharType="begin"/>
            </w:r>
            <w:r w:rsidRPr="00FF7C9B">
              <w:rPr>
                <w:rFonts w:ascii="Times New Roman" w:hAnsi="Times New Roman" w:cs="Times New Roman"/>
                <w:b/>
                <w:bCs/>
                <w:sz w:val="16"/>
                <w:szCs w:val="16"/>
              </w:rPr>
              <w:instrText xml:space="preserve"> PAGE </w:instrText>
            </w:r>
            <w:r w:rsidRPr="00FF7C9B">
              <w:rPr>
                <w:rFonts w:ascii="Times New Roman" w:hAnsi="Times New Roman" w:cs="Times New Roman"/>
                <w:b/>
                <w:bCs/>
                <w:sz w:val="16"/>
                <w:szCs w:val="16"/>
              </w:rPr>
              <w:fldChar w:fldCharType="separate"/>
            </w:r>
            <w:r w:rsidRPr="00FF7C9B">
              <w:rPr>
                <w:rFonts w:ascii="Times New Roman" w:hAnsi="Times New Roman" w:cs="Times New Roman"/>
                <w:b/>
                <w:bCs/>
                <w:noProof/>
                <w:sz w:val="16"/>
                <w:szCs w:val="16"/>
              </w:rPr>
              <w:t>2</w:t>
            </w:r>
            <w:r w:rsidRPr="00FF7C9B">
              <w:rPr>
                <w:rFonts w:ascii="Times New Roman" w:hAnsi="Times New Roman" w:cs="Times New Roman"/>
                <w:b/>
                <w:bCs/>
                <w:sz w:val="16"/>
                <w:szCs w:val="16"/>
              </w:rPr>
              <w:fldChar w:fldCharType="end"/>
            </w:r>
            <w:r w:rsidRPr="00FF7C9B">
              <w:rPr>
                <w:rFonts w:ascii="Times New Roman" w:hAnsi="Times New Roman" w:cs="Times New Roman"/>
                <w:sz w:val="16"/>
                <w:szCs w:val="16"/>
              </w:rPr>
              <w:t xml:space="preserve"> of </w:t>
            </w:r>
            <w:r w:rsidRPr="00FF7C9B">
              <w:rPr>
                <w:rFonts w:ascii="Times New Roman" w:hAnsi="Times New Roman" w:cs="Times New Roman"/>
                <w:b/>
                <w:bCs/>
                <w:sz w:val="16"/>
                <w:szCs w:val="16"/>
              </w:rPr>
              <w:fldChar w:fldCharType="begin"/>
            </w:r>
            <w:r w:rsidRPr="00FF7C9B">
              <w:rPr>
                <w:rFonts w:ascii="Times New Roman" w:hAnsi="Times New Roman" w:cs="Times New Roman"/>
                <w:b/>
                <w:bCs/>
                <w:sz w:val="16"/>
                <w:szCs w:val="16"/>
              </w:rPr>
              <w:instrText xml:space="preserve"> NUMPAGES  </w:instrText>
            </w:r>
            <w:r w:rsidRPr="00FF7C9B">
              <w:rPr>
                <w:rFonts w:ascii="Times New Roman" w:hAnsi="Times New Roman" w:cs="Times New Roman"/>
                <w:b/>
                <w:bCs/>
                <w:sz w:val="16"/>
                <w:szCs w:val="16"/>
              </w:rPr>
              <w:fldChar w:fldCharType="separate"/>
            </w:r>
            <w:r w:rsidRPr="00FF7C9B">
              <w:rPr>
                <w:rFonts w:ascii="Times New Roman" w:hAnsi="Times New Roman" w:cs="Times New Roman"/>
                <w:b/>
                <w:bCs/>
                <w:noProof/>
                <w:sz w:val="16"/>
                <w:szCs w:val="16"/>
              </w:rPr>
              <w:t>2</w:t>
            </w:r>
            <w:r w:rsidRPr="00FF7C9B">
              <w:rPr>
                <w:rFonts w:ascii="Times New Roman" w:hAnsi="Times New Roman" w:cs="Times New Roman"/>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CD01" w14:textId="77777777" w:rsidR="00917099" w:rsidRDefault="0091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EC4E" w14:textId="77777777" w:rsidR="00970429" w:rsidRDefault="00970429" w:rsidP="00970429">
      <w:pPr>
        <w:spacing w:after="0" w:line="240" w:lineRule="auto"/>
      </w:pPr>
      <w:r>
        <w:separator/>
      </w:r>
    </w:p>
  </w:footnote>
  <w:footnote w:type="continuationSeparator" w:id="0">
    <w:p w14:paraId="5A8EF094" w14:textId="77777777" w:rsidR="00970429" w:rsidRDefault="00970429" w:rsidP="0097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7D0D" w14:textId="77777777" w:rsidR="00917099" w:rsidRDefault="00917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395"/>
      <w:gridCol w:w="1417"/>
      <w:gridCol w:w="1559"/>
    </w:tblGrid>
    <w:tr w:rsidR="00970429" w:rsidRPr="00970429" w14:paraId="52FF1A68" w14:textId="77777777" w:rsidTr="00917099">
      <w:tc>
        <w:tcPr>
          <w:tcW w:w="2263" w:type="dxa"/>
        </w:tcPr>
        <w:p w14:paraId="13A75CC1" w14:textId="03B7D880" w:rsidR="00970429" w:rsidRPr="00970429" w:rsidRDefault="00970429">
          <w:pPr>
            <w:pStyle w:val="Header"/>
            <w:rPr>
              <w:rFonts w:ascii="Times New Roman" w:hAnsi="Times New Roman" w:cs="Times New Roman"/>
              <w:sz w:val="16"/>
              <w:szCs w:val="16"/>
            </w:rPr>
          </w:pPr>
          <w:r w:rsidRPr="00970429">
            <w:rPr>
              <w:rFonts w:ascii="Times New Roman" w:hAnsi="Times New Roman" w:cs="Times New Roman"/>
              <w:sz w:val="16"/>
              <w:szCs w:val="16"/>
              <w:lang w:val="en-US"/>
            </w:rPr>
            <w:t>Parliament Sessions Court</w:t>
          </w:r>
        </w:p>
      </w:tc>
      <w:tc>
        <w:tcPr>
          <w:tcW w:w="4395" w:type="dxa"/>
        </w:tcPr>
        <w:p w14:paraId="169E18A1" w14:textId="361A1974" w:rsidR="00970429" w:rsidRPr="00970429" w:rsidRDefault="00970429" w:rsidP="00970429">
          <w:pPr>
            <w:pStyle w:val="Header"/>
            <w:jc w:val="center"/>
            <w:rPr>
              <w:rFonts w:ascii="Times New Roman" w:hAnsi="Times New Roman" w:cs="Times New Roman"/>
              <w:sz w:val="16"/>
              <w:szCs w:val="16"/>
            </w:rPr>
          </w:pPr>
          <w:r w:rsidRPr="00970429">
            <w:rPr>
              <w:rFonts w:ascii="Times New Roman" w:hAnsi="Times New Roman" w:cs="Times New Roman"/>
              <w:sz w:val="16"/>
              <w:szCs w:val="16"/>
              <w:lang w:val="en-US"/>
            </w:rPr>
            <w:t>The People v Judiciary</w:t>
          </w:r>
        </w:p>
      </w:tc>
      <w:tc>
        <w:tcPr>
          <w:tcW w:w="2976" w:type="dxa"/>
          <w:gridSpan w:val="2"/>
        </w:tcPr>
        <w:p w14:paraId="4A239B06" w14:textId="286BF8D4" w:rsidR="00970429" w:rsidRPr="00970429" w:rsidRDefault="00970429" w:rsidP="00970429">
          <w:pPr>
            <w:pStyle w:val="Header"/>
            <w:jc w:val="right"/>
            <w:rPr>
              <w:rFonts w:ascii="Times New Roman" w:hAnsi="Times New Roman" w:cs="Times New Roman"/>
              <w:sz w:val="16"/>
              <w:szCs w:val="16"/>
            </w:rPr>
          </w:pPr>
          <w:r w:rsidRPr="00970429">
            <w:rPr>
              <w:rFonts w:ascii="Times New Roman" w:hAnsi="Times New Roman" w:cs="Times New Roman"/>
              <w:sz w:val="16"/>
              <w:szCs w:val="16"/>
              <w:lang w:val="en-US"/>
            </w:rPr>
            <w:t>Corruption Remedies</w:t>
          </w:r>
        </w:p>
      </w:tc>
    </w:tr>
    <w:tr w:rsidR="00970429" w:rsidRPr="00970429" w14:paraId="4C3A74DE" w14:textId="77777777" w:rsidTr="00917099">
      <w:tc>
        <w:tcPr>
          <w:tcW w:w="2263" w:type="dxa"/>
        </w:tcPr>
        <w:p w14:paraId="1FA4F0D5" w14:textId="7EF0F13C" w:rsidR="00970429" w:rsidRPr="00970429" w:rsidRDefault="00970429">
          <w:pPr>
            <w:pStyle w:val="Header"/>
            <w:rPr>
              <w:rFonts w:ascii="Times New Roman" w:hAnsi="Times New Roman" w:cs="Times New Roman"/>
              <w:sz w:val="16"/>
              <w:szCs w:val="16"/>
            </w:rPr>
          </w:pPr>
          <w:r w:rsidRPr="00970429">
            <w:rPr>
              <w:rFonts w:ascii="Times New Roman" w:hAnsi="Times New Roman" w:cs="Times New Roman"/>
              <w:sz w:val="16"/>
              <w:szCs w:val="16"/>
              <w:lang w:val="en-US"/>
            </w:rPr>
            <w:t>County Court</w:t>
          </w:r>
        </w:p>
      </w:tc>
      <w:tc>
        <w:tcPr>
          <w:tcW w:w="4395" w:type="dxa"/>
        </w:tcPr>
        <w:p w14:paraId="15B7E82F" w14:textId="1238C19A" w:rsidR="00970429" w:rsidRPr="00970429" w:rsidRDefault="00970429" w:rsidP="00970429">
          <w:pPr>
            <w:pStyle w:val="Header"/>
            <w:jc w:val="center"/>
            <w:rPr>
              <w:rFonts w:ascii="Times New Roman" w:hAnsi="Times New Roman" w:cs="Times New Roman"/>
              <w:sz w:val="16"/>
              <w:szCs w:val="16"/>
            </w:rPr>
          </w:pPr>
          <w:r w:rsidRPr="00970429">
            <w:rPr>
              <w:rFonts w:ascii="Times New Roman" w:hAnsi="Times New Roman" w:cs="Times New Roman"/>
              <w:sz w:val="16"/>
              <w:szCs w:val="16"/>
              <w:lang w:val="en-US"/>
            </w:rPr>
            <w:t>Equity Lawyer Mr Ellis v Chelmer Housing Partnership</w:t>
          </w:r>
        </w:p>
      </w:tc>
      <w:tc>
        <w:tcPr>
          <w:tcW w:w="2976" w:type="dxa"/>
          <w:gridSpan w:val="2"/>
        </w:tcPr>
        <w:p w14:paraId="4B530D85" w14:textId="198E513D" w:rsidR="00970429" w:rsidRPr="00970429" w:rsidRDefault="00970429" w:rsidP="00970429">
          <w:pPr>
            <w:pStyle w:val="Header"/>
            <w:jc w:val="right"/>
            <w:rPr>
              <w:rFonts w:ascii="Times New Roman" w:hAnsi="Times New Roman" w:cs="Times New Roman"/>
              <w:sz w:val="16"/>
              <w:szCs w:val="16"/>
            </w:rPr>
          </w:pPr>
          <w:r w:rsidRPr="00970429">
            <w:rPr>
              <w:rFonts w:ascii="Times New Roman" w:hAnsi="Times New Roman" w:cs="Times New Roman"/>
              <w:sz w:val="16"/>
              <w:szCs w:val="16"/>
              <w:lang w:val="en-US"/>
            </w:rPr>
            <w:t>M3PP2259</w:t>
          </w:r>
        </w:p>
      </w:tc>
    </w:tr>
    <w:tr w:rsidR="00970429" w:rsidRPr="00970429" w14:paraId="2007BFB6" w14:textId="77777777" w:rsidTr="00917099">
      <w:tc>
        <w:tcPr>
          <w:tcW w:w="2263" w:type="dxa"/>
        </w:tcPr>
        <w:p w14:paraId="79A24269" w14:textId="77777777" w:rsidR="00970429" w:rsidRPr="00970429" w:rsidRDefault="00970429">
          <w:pPr>
            <w:pStyle w:val="Header"/>
            <w:rPr>
              <w:rFonts w:ascii="Times New Roman" w:hAnsi="Times New Roman" w:cs="Times New Roman"/>
              <w:sz w:val="16"/>
              <w:szCs w:val="16"/>
            </w:rPr>
          </w:pPr>
        </w:p>
      </w:tc>
      <w:tc>
        <w:tcPr>
          <w:tcW w:w="4395" w:type="dxa"/>
        </w:tcPr>
        <w:p w14:paraId="60DAA736" w14:textId="77777777" w:rsidR="00970429" w:rsidRPr="00970429" w:rsidRDefault="00970429" w:rsidP="00970429">
          <w:pPr>
            <w:pStyle w:val="Header"/>
            <w:jc w:val="center"/>
            <w:rPr>
              <w:rFonts w:ascii="Times New Roman" w:hAnsi="Times New Roman" w:cs="Times New Roman"/>
              <w:sz w:val="16"/>
              <w:szCs w:val="16"/>
            </w:rPr>
          </w:pPr>
        </w:p>
      </w:tc>
      <w:tc>
        <w:tcPr>
          <w:tcW w:w="2976" w:type="dxa"/>
          <w:gridSpan w:val="2"/>
        </w:tcPr>
        <w:p w14:paraId="3F4DA034" w14:textId="77777777" w:rsidR="00970429" w:rsidRPr="00970429" w:rsidRDefault="00970429" w:rsidP="00970429">
          <w:pPr>
            <w:pStyle w:val="Header"/>
            <w:jc w:val="right"/>
            <w:rPr>
              <w:rFonts w:ascii="Times New Roman" w:hAnsi="Times New Roman" w:cs="Times New Roman"/>
              <w:sz w:val="16"/>
              <w:szCs w:val="16"/>
            </w:rPr>
          </w:pPr>
        </w:p>
      </w:tc>
    </w:tr>
    <w:tr w:rsidR="00970429" w:rsidRPr="00970429" w14:paraId="279ACAA5" w14:textId="77777777" w:rsidTr="00917099">
      <w:tc>
        <w:tcPr>
          <w:tcW w:w="8075" w:type="dxa"/>
          <w:gridSpan w:val="3"/>
        </w:tcPr>
        <w:p w14:paraId="203074BC" w14:textId="10DA1254" w:rsidR="00970429" w:rsidRPr="00970429" w:rsidRDefault="00970429" w:rsidP="00970429">
          <w:pPr>
            <w:rPr>
              <w:sz w:val="20"/>
              <w:szCs w:val="20"/>
              <w:lang w:val="en-US"/>
            </w:rPr>
          </w:pPr>
          <w:proofErr w:type="spellStart"/>
          <w:r w:rsidRPr="00970429">
            <w:rPr>
              <w:sz w:val="20"/>
              <w:szCs w:val="20"/>
              <w:lang w:val="en-US"/>
            </w:rPr>
            <w:t>Defence</w:t>
          </w:r>
          <w:proofErr w:type="spellEnd"/>
          <w:r w:rsidRPr="00970429">
            <w:rPr>
              <w:sz w:val="20"/>
              <w:szCs w:val="20"/>
              <w:lang w:val="en-US"/>
            </w:rPr>
            <w:t xml:space="preserve"> Form + REPEAT Without Prejudice Settlement Offer + </w:t>
          </w:r>
          <w:proofErr w:type="spellStart"/>
          <w:r w:rsidRPr="00970429">
            <w:rPr>
              <w:sz w:val="20"/>
              <w:szCs w:val="20"/>
              <w:lang w:val="en-US"/>
            </w:rPr>
            <w:t>Defence</w:t>
          </w:r>
          <w:proofErr w:type="spellEnd"/>
          <w:r w:rsidRPr="00970429">
            <w:rPr>
              <w:sz w:val="20"/>
              <w:szCs w:val="20"/>
              <w:lang w:val="en-US"/>
            </w:rPr>
            <w:t xml:space="preserve"> + Counterclaim</w:t>
          </w:r>
        </w:p>
      </w:tc>
      <w:tc>
        <w:tcPr>
          <w:tcW w:w="1559" w:type="dxa"/>
        </w:tcPr>
        <w:p w14:paraId="152E2DAC" w14:textId="294B2B23" w:rsidR="00970429" w:rsidRPr="00647944" w:rsidRDefault="00647944" w:rsidP="00970429">
          <w:pPr>
            <w:pStyle w:val="Header"/>
            <w:jc w:val="right"/>
            <w:rPr>
              <w:rFonts w:ascii="Times New Roman" w:hAnsi="Times New Roman" w:cs="Times New Roman"/>
              <w:sz w:val="19"/>
              <w:szCs w:val="19"/>
            </w:rPr>
          </w:pPr>
          <w:r w:rsidRPr="00647944">
            <w:rPr>
              <w:rFonts w:ascii="Times New Roman" w:hAnsi="Times New Roman" w:cs="Times New Roman"/>
              <w:sz w:val="19"/>
              <w:szCs w:val="19"/>
            </w:rPr>
            <w:t>13</w:t>
          </w:r>
          <w:r w:rsidRPr="00647944">
            <w:rPr>
              <w:rFonts w:ascii="Times New Roman" w:hAnsi="Times New Roman" w:cs="Times New Roman"/>
              <w:sz w:val="19"/>
              <w:szCs w:val="19"/>
              <w:vertAlign w:val="superscript"/>
            </w:rPr>
            <w:t>th</w:t>
          </w:r>
          <w:r w:rsidRPr="00647944">
            <w:rPr>
              <w:rFonts w:ascii="Times New Roman" w:hAnsi="Times New Roman" w:cs="Times New Roman"/>
              <w:sz w:val="19"/>
              <w:szCs w:val="19"/>
            </w:rPr>
            <w:t xml:space="preserve"> August 2025</w:t>
          </w:r>
        </w:p>
      </w:tc>
    </w:tr>
  </w:tbl>
  <w:p w14:paraId="603A5894" w14:textId="77777777" w:rsidR="00970429" w:rsidRDefault="00970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37AC" w14:textId="77777777" w:rsidR="00917099" w:rsidRDefault="009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D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2A506E"/>
    <w:multiLevelType w:val="multilevel"/>
    <w:tmpl w:val="3DAA133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F97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5235182">
    <w:abstractNumId w:val="1"/>
  </w:num>
  <w:num w:numId="2" w16cid:durableId="395056385">
    <w:abstractNumId w:val="0"/>
  </w:num>
  <w:num w:numId="3" w16cid:durableId="746345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29"/>
    <w:rsid w:val="001C1FB6"/>
    <w:rsid w:val="001E515F"/>
    <w:rsid w:val="002F105C"/>
    <w:rsid w:val="003E038F"/>
    <w:rsid w:val="00442023"/>
    <w:rsid w:val="00505E37"/>
    <w:rsid w:val="00647944"/>
    <w:rsid w:val="0068199D"/>
    <w:rsid w:val="008F6C28"/>
    <w:rsid w:val="00917099"/>
    <w:rsid w:val="00970429"/>
    <w:rsid w:val="009D137E"/>
    <w:rsid w:val="00FF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AA921"/>
  <w15:chartTrackingRefBased/>
  <w15:docId w15:val="{BF2B81E6-5FC0-414D-AEB0-DDDEA16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4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4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4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29"/>
    <w:rPr>
      <w:rFonts w:eastAsiaTheme="majorEastAsia" w:cstheme="majorBidi"/>
      <w:color w:val="272727" w:themeColor="text1" w:themeTint="D8"/>
    </w:rPr>
  </w:style>
  <w:style w:type="paragraph" w:styleId="Title">
    <w:name w:val="Title"/>
    <w:basedOn w:val="Normal"/>
    <w:next w:val="Normal"/>
    <w:link w:val="TitleChar"/>
    <w:uiPriority w:val="10"/>
    <w:qFormat/>
    <w:rsid w:val="00970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29"/>
    <w:pPr>
      <w:spacing w:before="160"/>
      <w:jc w:val="center"/>
    </w:pPr>
    <w:rPr>
      <w:i/>
      <w:iCs/>
      <w:color w:val="404040" w:themeColor="text1" w:themeTint="BF"/>
    </w:rPr>
  </w:style>
  <w:style w:type="character" w:customStyle="1" w:styleId="QuoteChar">
    <w:name w:val="Quote Char"/>
    <w:basedOn w:val="DefaultParagraphFont"/>
    <w:link w:val="Quote"/>
    <w:uiPriority w:val="29"/>
    <w:rsid w:val="00970429"/>
    <w:rPr>
      <w:i/>
      <w:iCs/>
      <w:color w:val="404040" w:themeColor="text1" w:themeTint="BF"/>
    </w:rPr>
  </w:style>
  <w:style w:type="paragraph" w:styleId="ListParagraph">
    <w:name w:val="List Paragraph"/>
    <w:basedOn w:val="Normal"/>
    <w:uiPriority w:val="34"/>
    <w:qFormat/>
    <w:rsid w:val="00970429"/>
    <w:pPr>
      <w:ind w:left="720"/>
      <w:contextualSpacing/>
    </w:pPr>
  </w:style>
  <w:style w:type="character" w:styleId="IntenseEmphasis">
    <w:name w:val="Intense Emphasis"/>
    <w:basedOn w:val="DefaultParagraphFont"/>
    <w:uiPriority w:val="21"/>
    <w:qFormat/>
    <w:rsid w:val="00970429"/>
    <w:rPr>
      <w:i/>
      <w:iCs/>
      <w:color w:val="2F5496" w:themeColor="accent1" w:themeShade="BF"/>
    </w:rPr>
  </w:style>
  <w:style w:type="paragraph" w:styleId="IntenseQuote">
    <w:name w:val="Intense Quote"/>
    <w:basedOn w:val="Normal"/>
    <w:next w:val="Normal"/>
    <w:link w:val="IntenseQuoteChar"/>
    <w:uiPriority w:val="30"/>
    <w:qFormat/>
    <w:rsid w:val="00970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429"/>
    <w:rPr>
      <w:i/>
      <w:iCs/>
      <w:color w:val="2F5496" w:themeColor="accent1" w:themeShade="BF"/>
    </w:rPr>
  </w:style>
  <w:style w:type="character" w:styleId="IntenseReference">
    <w:name w:val="Intense Reference"/>
    <w:basedOn w:val="DefaultParagraphFont"/>
    <w:uiPriority w:val="32"/>
    <w:qFormat/>
    <w:rsid w:val="00970429"/>
    <w:rPr>
      <w:b/>
      <w:bCs/>
      <w:smallCaps/>
      <w:color w:val="2F5496" w:themeColor="accent1" w:themeShade="BF"/>
      <w:spacing w:val="5"/>
    </w:rPr>
  </w:style>
  <w:style w:type="paragraph" w:styleId="Header">
    <w:name w:val="header"/>
    <w:basedOn w:val="Normal"/>
    <w:link w:val="HeaderChar"/>
    <w:uiPriority w:val="99"/>
    <w:unhideWhenUsed/>
    <w:rsid w:val="0097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429"/>
  </w:style>
  <w:style w:type="paragraph" w:styleId="Footer">
    <w:name w:val="footer"/>
    <w:basedOn w:val="Normal"/>
    <w:link w:val="FooterChar"/>
    <w:uiPriority w:val="99"/>
    <w:unhideWhenUsed/>
    <w:rsid w:val="0097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429"/>
  </w:style>
  <w:style w:type="table" w:styleId="TableGrid">
    <w:name w:val="Table Grid"/>
    <w:basedOn w:val="TableNormal"/>
    <w:uiPriority w:val="39"/>
    <w:rsid w:val="00970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429"/>
    <w:rPr>
      <w:color w:val="0563C1" w:themeColor="hyperlink"/>
      <w:u w:val="single"/>
    </w:rPr>
  </w:style>
  <w:style w:type="character" w:styleId="UnresolvedMention">
    <w:name w:val="Unresolved Mention"/>
    <w:basedOn w:val="DefaultParagraphFont"/>
    <w:uiPriority w:val="99"/>
    <w:semiHidden/>
    <w:unhideWhenUsed/>
    <w:rsid w:val="0097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ward.w.elli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Abusuafuo Nkrumah</dc:creator>
  <cp:keywords/>
  <dc:description/>
  <cp:lastModifiedBy>Abusuafuo Nkrumah</cp:lastModifiedBy>
  <cp:revision>3</cp:revision>
  <cp:lastPrinted>2025-08-24T23:14:00Z</cp:lastPrinted>
  <dcterms:created xsi:type="dcterms:W3CDTF">2025-08-24T18:29:00Z</dcterms:created>
  <dcterms:modified xsi:type="dcterms:W3CDTF">2025-08-24T23:15:00Z</dcterms:modified>
</cp:coreProperties>
</file>